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9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23"/>
        <w:gridCol w:w="705"/>
        <w:gridCol w:w="844"/>
        <w:gridCol w:w="461"/>
        <w:gridCol w:w="3896"/>
        <w:gridCol w:w="1620"/>
        <w:gridCol w:w="992"/>
        <w:gridCol w:w="1418"/>
        <w:gridCol w:w="1994"/>
        <w:gridCol w:w="1269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年秭归县楚元控股集团有限责任公司招聘工作人员岗位表</w:t>
            </w:r>
          </w:p>
          <w:bookmarkEnd w:id="0"/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职位   名称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3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考试类别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秭归县楚元控股集团有限责任公司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财务岗位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楚元集团公司财务工作。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财务会计类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秭归县楚恒企业管理有限公司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负责市民广场信息平台的对外宣传、推广、发展以及后期的运营，策划各种能吸引商家、用户、业主参与的福利活动。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学类专业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秭归久源水利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开发有限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责任公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统计岗位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砂石料加工厂财务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及统计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财务会计类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、数字统计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统计工作经验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秭归久源水利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开发有限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责任公司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财务岗位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乡镇国有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办公室工作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财务会计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秭归久源水利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开发有限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责任公司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经营管理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乡镇国有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公司经营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专科及以上学历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具有两年及以上企业经营管理经验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秭归久源水利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开发有限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责任公司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机电设备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安装及维修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乡镇污水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机电设备安装及维修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具有两年及以上专业经验。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秭归县楚元健康产业开发有限公司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验光师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视光工作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临床医学类、护理学类、医学技术类专业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800" w:firstLineChars="4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秭归县楚元健康产业开发有限公司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镜师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负责视光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临床医学类、护理学类、医学技术类专业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80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秭归县楚元健康产业开发有限公司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从事药品、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器材销售工作。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临床医学类、护理学类、医学技术类、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药学类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秭归县楚元健康产业开发有限公司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管理工作。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1981年1月1日及以后出生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55686"/>
    <w:rsid w:val="627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2021-05-28T02:21:00Z</dcterms:created>
  <dc:creator>天堂有雨</dc:creator>
  <cp:lastModifiedBy>天堂有雨</cp:lastModifiedBy>
  <dcterms:modified xsi:type="dcterms:W3CDTF">2021-05-28T02:21:42Z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238EBF5E6EA040F1AA7E87A4B0225632</vt:lpwstr>
  </property>
</Properties>
</file>